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B06702" w14:textId="77777777" w:rsidR="00D5021D" w:rsidRPr="00787BD0" w:rsidRDefault="00D5021D" w:rsidP="00624CA7">
      <w:pPr>
        <w:pBdr>
          <w:bottom w:val="single" w:sz="4" w:space="1" w:color="auto"/>
        </w:pBdr>
        <w:ind w:left="0"/>
        <w:rPr>
          <w:rFonts w:ascii="Calibri" w:hAnsi="Calibri" w:cs="Calibri"/>
          <w:spacing w:val="0"/>
          <w:sz w:val="24"/>
          <w:szCs w:val="24"/>
        </w:rPr>
      </w:pPr>
      <w:r>
        <w:rPr>
          <w:rFonts w:ascii="Calibri" w:hAnsi="Calibri"/>
          <w:sz w:val="24"/>
        </w:rPr>
        <w:t>PRESS RELEASE</w:t>
      </w:r>
    </w:p>
    <w:p w14:paraId="13B8E32D" w14:textId="77777777" w:rsidR="00BF2BDC" w:rsidRPr="00787BD0" w:rsidRDefault="00BF2BDC" w:rsidP="00DC101D">
      <w:pPr>
        <w:spacing w:after="120" w:line="360" w:lineRule="auto"/>
        <w:ind w:left="0"/>
        <w:rPr>
          <w:rFonts w:ascii="Calibri" w:hAnsi="Calibri" w:cs="Calibri"/>
          <w:spacing w:val="0"/>
          <w:sz w:val="16"/>
          <w:u w:val="single"/>
        </w:rPr>
      </w:pPr>
    </w:p>
    <w:p w14:paraId="55E0A5E1" w14:textId="2FDA3031" w:rsidR="00D5021D" w:rsidRPr="00787BD0" w:rsidRDefault="0089482D" w:rsidP="00416305">
      <w:pPr>
        <w:spacing w:after="120"/>
        <w:ind w:left="0"/>
        <w:rPr>
          <w:rFonts w:ascii="Calibri" w:hAnsi="Calibri" w:cs="Calibri"/>
          <w:i/>
          <w:spacing w:val="0"/>
          <w:sz w:val="18"/>
        </w:rPr>
      </w:pPr>
      <w:r>
        <w:rPr>
          <w:rFonts w:ascii="Calibri" w:hAnsi="Calibri"/>
          <w:i/>
          <w:sz w:val="18"/>
        </w:rPr>
        <w:t>K 2022/ Packaging technology/ Plastic technology/ Foil technology/ Logistics / Automation</w:t>
      </w:r>
    </w:p>
    <w:p w14:paraId="264880B5" w14:textId="6D348DE2" w:rsidR="003D5AB8" w:rsidRPr="00787BD0" w:rsidRDefault="00545290" w:rsidP="001D2B81">
      <w:pPr>
        <w:pStyle w:val="berschrift3"/>
        <w:spacing w:after="120" w:line="240" w:lineRule="auto"/>
        <w:rPr>
          <w:rFonts w:ascii="Calibri" w:hAnsi="Calibri" w:cs="Calibri"/>
          <w:spacing w:val="-2"/>
          <w:szCs w:val="40"/>
        </w:rPr>
      </w:pPr>
      <w:r>
        <w:rPr>
          <w:rFonts w:ascii="Calibri" w:hAnsi="Calibri"/>
        </w:rPr>
        <w:t>Reversible closing or permanent sealing</w:t>
      </w:r>
    </w:p>
    <w:p w14:paraId="467E5CAC" w14:textId="546ED21F" w:rsidR="00B177D2" w:rsidRPr="00787BD0" w:rsidRDefault="0089482D" w:rsidP="00DC101D">
      <w:pPr>
        <w:pStyle w:val="berschrift3"/>
        <w:spacing w:after="120"/>
        <w:rPr>
          <w:rFonts w:ascii="Calibri" w:hAnsi="Calibri" w:cs="Calibri"/>
          <w:spacing w:val="-4"/>
          <w:sz w:val="24"/>
          <w:szCs w:val="24"/>
        </w:rPr>
      </w:pPr>
      <w:r>
        <w:rPr>
          <w:rFonts w:ascii="Calibri" w:hAnsi="Calibri"/>
          <w:sz w:val="24"/>
        </w:rPr>
        <w:t xml:space="preserve">At the K trade fair, </w:t>
      </w:r>
      <w:proofErr w:type="spellStart"/>
      <w:r>
        <w:rPr>
          <w:rFonts w:ascii="Calibri" w:hAnsi="Calibri"/>
          <w:sz w:val="24"/>
        </w:rPr>
        <w:t>Schümann</w:t>
      </w:r>
      <w:proofErr w:type="spellEnd"/>
      <w:r>
        <w:rPr>
          <w:rFonts w:ascii="Calibri" w:hAnsi="Calibri"/>
          <w:sz w:val="24"/>
        </w:rPr>
        <w:t xml:space="preserve"> is presenting its full range of bag closing tapes</w:t>
      </w:r>
    </w:p>
    <w:p w14:paraId="4E288391" w14:textId="1D87D11B" w:rsidR="00545290" w:rsidRPr="00787BD0" w:rsidRDefault="00A50F7C" w:rsidP="00DC101D">
      <w:pPr>
        <w:pStyle w:val="Textkrper2"/>
        <w:spacing w:after="120"/>
        <w:rPr>
          <w:rFonts w:ascii="Calibri" w:hAnsi="Calibri"/>
          <w:spacing w:val="-2"/>
          <w:szCs w:val="21"/>
        </w:rPr>
      </w:pPr>
      <w:r>
        <w:rPr>
          <w:rFonts w:ascii="Calibri" w:hAnsi="Calibri"/>
        </w:rPr>
        <w:t xml:space="preserve">At the K trade fair in Düsseldorf, German packaging specialist </w:t>
      </w:r>
      <w:proofErr w:type="spellStart"/>
      <w:r>
        <w:rPr>
          <w:rFonts w:ascii="Calibri" w:hAnsi="Calibri"/>
        </w:rPr>
        <w:t>Schümann</w:t>
      </w:r>
      <w:proofErr w:type="spellEnd"/>
      <w:r>
        <w:rPr>
          <w:rFonts w:ascii="Calibri" w:hAnsi="Calibri"/>
        </w:rPr>
        <w:t xml:space="preserve"> will be providing an overview of its full range of reversible and permanent bag closing tapes. These bag closing tapes (BCT) allow for the secure and rapid closure and sealing of synthetic pouches made from PP, OPP, PE and HDPE. Depending on the design, they also support the efficiency and ergonomics of the manual packaging processes.</w:t>
      </w:r>
    </w:p>
    <w:p w14:paraId="680412D1" w14:textId="547F2FC3" w:rsidR="00E470C6" w:rsidRPr="00787BD0" w:rsidRDefault="008D452C" w:rsidP="00DC101D">
      <w:pPr>
        <w:pStyle w:val="Textkrper2"/>
        <w:spacing w:after="120"/>
        <w:rPr>
          <w:rFonts w:ascii="Calibri" w:hAnsi="Calibri"/>
          <w:b w:val="0"/>
          <w:spacing w:val="-2"/>
          <w:szCs w:val="21"/>
        </w:rPr>
      </w:pPr>
      <w:proofErr w:type="spellStart"/>
      <w:r>
        <w:rPr>
          <w:rFonts w:ascii="Calibri" w:hAnsi="Calibri"/>
          <w:b w:val="0"/>
          <w:i/>
        </w:rPr>
        <w:t>Stadtallendorf</w:t>
      </w:r>
      <w:proofErr w:type="spellEnd"/>
      <w:r>
        <w:rPr>
          <w:rFonts w:ascii="Calibri" w:hAnsi="Calibri"/>
          <w:b w:val="0"/>
          <w:i/>
        </w:rPr>
        <w:t>, August 2022</w:t>
      </w:r>
      <w:r>
        <w:rPr>
          <w:rFonts w:ascii="Calibri" w:hAnsi="Calibri"/>
          <w:b w:val="0"/>
        </w:rPr>
        <w:t xml:space="preserve">. – In many industries, double-sided adhesive tapes are indispensable packaging materials for the closing and sealing of pouches and mailing bags made from plastic films. However, the quality requirements concerning these bag closing tapes (BCT) differ according to the contents and shipping method. To be able to fulfil as many customer requirements as possible, the German packaging tape specialist </w:t>
      </w:r>
      <w:proofErr w:type="spellStart"/>
      <w:r>
        <w:rPr>
          <w:rFonts w:ascii="Calibri" w:hAnsi="Calibri"/>
          <w:b w:val="0"/>
        </w:rPr>
        <w:t>Schümann</w:t>
      </w:r>
      <w:proofErr w:type="spellEnd"/>
      <w:r>
        <w:rPr>
          <w:rFonts w:ascii="Calibri" w:hAnsi="Calibri"/>
          <w:b w:val="0"/>
        </w:rPr>
        <w:t xml:space="preserve"> is offering a wide range of these bag closing tapes. The company will be providing a complete overview of its varied range of BCT at this year’s K trade fair (19–26/10/22), where it will be exhibiting in stand E42 in hall 8b. Visitors to the fair will be able to learn about the various permanent and reversible adhesive tapes at first hand.</w:t>
      </w:r>
    </w:p>
    <w:p w14:paraId="18C42EDC" w14:textId="27865B11" w:rsidR="001F5358" w:rsidRPr="00787BD0" w:rsidRDefault="000C4696" w:rsidP="00DC101D">
      <w:pPr>
        <w:pStyle w:val="Textkrper2"/>
        <w:spacing w:after="120"/>
        <w:rPr>
          <w:rFonts w:ascii="Calibri" w:hAnsi="Calibri"/>
          <w:b w:val="0"/>
          <w:spacing w:val="-2"/>
          <w:szCs w:val="21"/>
        </w:rPr>
      </w:pPr>
      <w:r>
        <w:rPr>
          <w:rFonts w:ascii="Calibri" w:hAnsi="Calibri"/>
          <w:b w:val="0"/>
        </w:rPr>
        <w:t xml:space="preserve">What all the BCT from </w:t>
      </w:r>
      <w:proofErr w:type="spellStart"/>
      <w:r>
        <w:rPr>
          <w:rFonts w:ascii="Calibri" w:hAnsi="Calibri"/>
          <w:b w:val="0"/>
        </w:rPr>
        <w:t>Schümann</w:t>
      </w:r>
      <w:proofErr w:type="spellEnd"/>
      <w:r>
        <w:rPr>
          <w:rFonts w:ascii="Calibri" w:hAnsi="Calibri"/>
          <w:b w:val="0"/>
        </w:rPr>
        <w:t xml:space="preserve"> have in common is that they are all suitable for closing standard synthetic pouches made from polyethylene (PE), polypropylene (PP), as well as hard polyethylene (HDPE) and oriented polypropylene (OPP). The question of whether the choice then falls on a tape from the group of reversible closing tapes or a version from the range of permanently adhesive BCTs mainly depends on the type of packaged goods, the requirements concerning protection against tampering and unauthorised opening, and the usability of the packaging. If, for example, the synthetic pouch is designed to allow the repeated removal of partial contents, the use of a reversible tape is recommended that enables the pouch to be resealed again several times. If, on the other hand, a tamper-proof closure is required, which – similar to a seal – can only be opened once and identifiably damages the synthetic pouch, permanent adhesive tapes are the better choice.</w:t>
      </w:r>
    </w:p>
    <w:p w14:paraId="720C8695" w14:textId="13C39C61" w:rsidR="00B53477" w:rsidRPr="00787BD0" w:rsidRDefault="00E84E2E" w:rsidP="00DC101D">
      <w:pPr>
        <w:pStyle w:val="Textkrper2"/>
        <w:spacing w:after="120"/>
        <w:rPr>
          <w:rFonts w:ascii="Calibri" w:hAnsi="Calibri"/>
          <w:spacing w:val="-2"/>
          <w:szCs w:val="21"/>
        </w:rPr>
      </w:pPr>
      <w:r>
        <w:rPr>
          <w:rFonts w:ascii="Calibri" w:hAnsi="Calibri"/>
        </w:rPr>
        <w:t>Fully automatic application</w:t>
      </w:r>
    </w:p>
    <w:p w14:paraId="2D2128BD" w14:textId="2E583604" w:rsidR="00B53477" w:rsidRPr="00787BD0" w:rsidRDefault="007C73DA" w:rsidP="00DC101D">
      <w:pPr>
        <w:pStyle w:val="Textkrper2"/>
        <w:spacing w:after="120"/>
        <w:rPr>
          <w:rFonts w:ascii="Calibri" w:hAnsi="Calibri"/>
          <w:spacing w:val="-2"/>
          <w:szCs w:val="21"/>
        </w:rPr>
      </w:pPr>
      <w:r>
        <w:rPr>
          <w:rFonts w:ascii="Calibri" w:hAnsi="Calibri"/>
          <w:b w:val="0"/>
        </w:rPr>
        <w:t xml:space="preserve">The bag closing tapes from </w:t>
      </w:r>
      <w:proofErr w:type="spellStart"/>
      <w:r>
        <w:rPr>
          <w:rFonts w:ascii="Calibri" w:hAnsi="Calibri"/>
          <w:b w:val="0"/>
        </w:rPr>
        <w:t>Schümann</w:t>
      </w:r>
      <w:proofErr w:type="spellEnd"/>
      <w:r>
        <w:rPr>
          <w:rFonts w:ascii="Calibri" w:hAnsi="Calibri"/>
          <w:b w:val="0"/>
        </w:rPr>
        <w:t xml:space="preserve"> have high-quality adhesive coatings and are suitable for fully automated application in the processing systems of the pouch manufacturers. They are supplied in the form of ready-to-use, cross-wound reels that can be inserted directly in the machines and which are designed for high production speeds.</w:t>
      </w:r>
      <w:r>
        <w:rPr>
          <w:rFonts w:ascii="Calibri" w:hAnsi="Calibri"/>
        </w:rPr>
        <w:t xml:space="preserve"> </w:t>
      </w:r>
      <w:r>
        <w:rPr>
          <w:rFonts w:ascii="Calibri" w:hAnsi="Calibri"/>
          <w:b w:val="0"/>
        </w:rPr>
        <w:t xml:space="preserve">The BCT from </w:t>
      </w:r>
      <w:proofErr w:type="spellStart"/>
      <w:r>
        <w:rPr>
          <w:rFonts w:ascii="Calibri" w:hAnsi="Calibri"/>
          <w:b w:val="0"/>
        </w:rPr>
        <w:t>Schümann</w:t>
      </w:r>
      <w:proofErr w:type="spellEnd"/>
      <w:r>
        <w:rPr>
          <w:rFonts w:ascii="Calibri" w:hAnsi="Calibri"/>
          <w:b w:val="0"/>
        </w:rPr>
        <w:t xml:space="preserve"> can be thermally cut with welding bars and heat cutters or mechanically punched.</w:t>
      </w:r>
    </w:p>
    <w:p w14:paraId="19B7813F" w14:textId="60778CF5" w:rsidR="001F5358" w:rsidRPr="00787BD0" w:rsidRDefault="007341C8" w:rsidP="00DC101D">
      <w:pPr>
        <w:pStyle w:val="Textkrper2"/>
        <w:spacing w:after="120"/>
        <w:rPr>
          <w:rFonts w:ascii="Calibri" w:hAnsi="Calibri"/>
          <w:b w:val="0"/>
          <w:bCs w:val="0"/>
          <w:spacing w:val="-2"/>
          <w:szCs w:val="21"/>
        </w:rPr>
      </w:pPr>
      <w:r>
        <w:rPr>
          <w:rFonts w:ascii="Calibri" w:hAnsi="Calibri"/>
          <w:b w:val="0"/>
        </w:rPr>
        <w:t xml:space="preserve">In manual packaging lines, </w:t>
      </w:r>
      <w:proofErr w:type="spellStart"/>
      <w:r>
        <w:rPr>
          <w:rFonts w:ascii="Calibri" w:hAnsi="Calibri"/>
          <w:b w:val="0"/>
        </w:rPr>
        <w:t>Schümann’s</w:t>
      </w:r>
      <w:proofErr w:type="spellEnd"/>
      <w:r>
        <w:rPr>
          <w:rFonts w:ascii="Calibri" w:hAnsi="Calibri"/>
          <w:b w:val="0"/>
        </w:rPr>
        <w:t xml:space="preserve"> bag closing tapes prove to be an extremely user-friendly solution. This is because both the reversible and the permanently adhesive </w:t>
      </w:r>
      <w:bookmarkStart w:id="0" w:name="_Hlk110586902"/>
      <w:r>
        <w:rPr>
          <w:rFonts w:ascii="Calibri" w:hAnsi="Calibri"/>
          <w:b w:val="0"/>
        </w:rPr>
        <w:t>BCT</w:t>
      </w:r>
      <w:bookmarkEnd w:id="0"/>
      <w:r>
        <w:rPr>
          <w:rFonts w:ascii="Calibri" w:hAnsi="Calibri"/>
          <w:b w:val="0"/>
        </w:rPr>
        <w:t xml:space="preserve"> are characterised by product </w:t>
      </w:r>
      <w:r>
        <w:rPr>
          <w:rFonts w:ascii="Calibri" w:hAnsi="Calibri"/>
          <w:b w:val="0"/>
        </w:rPr>
        <w:lastRenderedPageBreak/>
        <w:t>attributes that support the problem-free handling of the synthetic pouches during the insertion of the goods, and enable them to be sealed securely and without errors.</w:t>
      </w:r>
    </w:p>
    <w:p w14:paraId="781D5B89" w14:textId="24A13F42" w:rsidR="00A6241A" w:rsidRPr="00787BD0" w:rsidRDefault="00AA605B" w:rsidP="00DC101D">
      <w:pPr>
        <w:pStyle w:val="Textkrper2"/>
        <w:spacing w:after="120"/>
        <w:rPr>
          <w:rFonts w:ascii="Calibri" w:hAnsi="Calibri"/>
          <w:spacing w:val="-2"/>
          <w:szCs w:val="21"/>
        </w:rPr>
      </w:pPr>
      <w:r>
        <w:rPr>
          <w:rFonts w:ascii="Calibri" w:hAnsi="Calibri"/>
        </w:rPr>
        <w:t>Multiple access possible</w:t>
      </w:r>
    </w:p>
    <w:p w14:paraId="3017DD81" w14:textId="02367EFA" w:rsidR="00A6241A" w:rsidRPr="00787BD0" w:rsidRDefault="00A6241A" w:rsidP="00DC101D">
      <w:pPr>
        <w:pStyle w:val="Textkrper2"/>
        <w:spacing w:after="120"/>
        <w:rPr>
          <w:rFonts w:ascii="Calibri" w:hAnsi="Calibri"/>
          <w:b w:val="0"/>
          <w:bCs w:val="0"/>
          <w:spacing w:val="-2"/>
          <w:szCs w:val="21"/>
        </w:rPr>
      </w:pPr>
      <w:r>
        <w:rPr>
          <w:rFonts w:ascii="Calibri" w:hAnsi="Calibri"/>
          <w:b w:val="0"/>
        </w:rPr>
        <w:t xml:space="preserve">The reversible and double-sided bag closing tapes from </w:t>
      </w:r>
      <w:proofErr w:type="spellStart"/>
      <w:r>
        <w:rPr>
          <w:rFonts w:ascii="Calibri" w:hAnsi="Calibri"/>
          <w:b w:val="0"/>
        </w:rPr>
        <w:t>Schümann</w:t>
      </w:r>
      <w:proofErr w:type="spellEnd"/>
      <w:r>
        <w:rPr>
          <w:rFonts w:ascii="Calibri" w:hAnsi="Calibri"/>
          <w:b w:val="0"/>
        </w:rPr>
        <w:t xml:space="preserve"> are ideal for pouch packages with small-component contents which need to be accessed several times (construction kits, simple manufactured products), or products whose protective storage helps retain their value (samples, textiles). Depending on the version, the closure tapes also have liners with easy-peel coating with a normal antistatic effect or a very high antistatic effect. The antistatic properties of the tapes prevent detached liners from interfering with the manual packaging operations by getting stuck to fingers or clothing. They are also ideal for the packaging of sensitive electrical or electronic components.</w:t>
      </w:r>
    </w:p>
    <w:p w14:paraId="59B31F31" w14:textId="257A9B1D" w:rsidR="00AA605B" w:rsidRPr="00787BD0" w:rsidRDefault="00A37A5F" w:rsidP="00DC101D">
      <w:pPr>
        <w:pStyle w:val="Textkrper2"/>
        <w:spacing w:after="120"/>
        <w:rPr>
          <w:rFonts w:ascii="Calibri" w:hAnsi="Calibri"/>
          <w:spacing w:val="-2"/>
          <w:szCs w:val="21"/>
        </w:rPr>
      </w:pPr>
      <w:r>
        <w:rPr>
          <w:rFonts w:ascii="Calibri" w:hAnsi="Calibri"/>
        </w:rPr>
        <w:t>High protection against tampering and unauthorised opening</w:t>
      </w:r>
    </w:p>
    <w:p w14:paraId="7EBE21EF" w14:textId="0FCF3FD5" w:rsidR="008B2AFC" w:rsidRPr="00787BD0" w:rsidRDefault="008B2AFC" w:rsidP="00DC101D">
      <w:pPr>
        <w:pStyle w:val="Textkrper2"/>
        <w:spacing w:after="120"/>
        <w:rPr>
          <w:rFonts w:ascii="Calibri" w:hAnsi="Calibri"/>
          <w:b w:val="0"/>
          <w:bCs w:val="0"/>
          <w:spacing w:val="-2"/>
          <w:szCs w:val="21"/>
        </w:rPr>
      </w:pPr>
      <w:r>
        <w:rPr>
          <w:rFonts w:ascii="Calibri" w:hAnsi="Calibri"/>
          <w:b w:val="0"/>
        </w:rPr>
        <w:t xml:space="preserve">For applications in which protection against tampering and unauthorised opening as well as resistance take centre stage, </w:t>
      </w:r>
      <w:proofErr w:type="spellStart"/>
      <w:r>
        <w:rPr>
          <w:rFonts w:ascii="Calibri" w:hAnsi="Calibri"/>
          <w:b w:val="0"/>
        </w:rPr>
        <w:t>Schümann</w:t>
      </w:r>
      <w:proofErr w:type="spellEnd"/>
      <w:r>
        <w:rPr>
          <w:rFonts w:ascii="Calibri" w:hAnsi="Calibri"/>
          <w:b w:val="0"/>
        </w:rPr>
        <w:t xml:space="preserve"> offers permanently adhesive BCT. These are considered the optimum closing solution for synthetic pouches with valuable and sensitive contents which require protection against tampering and unauthorised opening. Once they have been closed with a tape of this kind, the non-destructive opening of the bags is impossible. Because of these seal-like properties, the permanently adhesive BCTs are great for the packaging of cosmetics, pharmaceutical and hygiene products, foodstuffs as well as bank and insurance documents. For advanced antistatic requirements, </w:t>
      </w:r>
      <w:proofErr w:type="spellStart"/>
      <w:r>
        <w:rPr>
          <w:rFonts w:ascii="Calibri" w:hAnsi="Calibri"/>
          <w:b w:val="0"/>
        </w:rPr>
        <w:t>Schümann</w:t>
      </w:r>
      <w:proofErr w:type="spellEnd"/>
      <w:r>
        <w:rPr>
          <w:rFonts w:ascii="Calibri" w:hAnsi="Calibri"/>
          <w:b w:val="0"/>
        </w:rPr>
        <w:t xml:space="preserve"> recommends a permanently adhesive BCT with high-quality, antistatic Zero Static Liner.</w:t>
      </w:r>
    </w:p>
    <w:p w14:paraId="35AA20D7" w14:textId="6FB51F74" w:rsidR="003E1FE2" w:rsidRDefault="00BF2BDC" w:rsidP="00DC101D">
      <w:pPr>
        <w:pStyle w:val="Textkrper2"/>
        <w:spacing w:after="120"/>
        <w:rPr>
          <w:rFonts w:ascii="Calibri" w:hAnsi="Calibri"/>
          <w:b w:val="0"/>
          <w:bCs w:val="0"/>
          <w:spacing w:val="-2"/>
          <w:szCs w:val="21"/>
        </w:rPr>
      </w:pPr>
      <w:r>
        <w:rPr>
          <w:rFonts w:ascii="Calibri" w:hAnsi="Calibri"/>
          <w:b w:val="0"/>
        </w:rPr>
        <w:t xml:space="preserve">The best basis for choosing the best BCT is a precise analysis of the current situation and the clearest possible definition of the objectives. With its know-how in the field of packaging and closure technology that it has acquired over many decades, </w:t>
      </w:r>
      <w:proofErr w:type="spellStart"/>
      <w:r>
        <w:rPr>
          <w:rFonts w:ascii="Calibri" w:hAnsi="Calibri"/>
          <w:b w:val="0"/>
        </w:rPr>
        <w:t>Schümann</w:t>
      </w:r>
      <w:proofErr w:type="spellEnd"/>
      <w:r>
        <w:rPr>
          <w:rFonts w:ascii="Calibri" w:hAnsi="Calibri"/>
          <w:b w:val="0"/>
        </w:rPr>
        <w:t xml:space="preserve"> supports both manufacturers and logistics service providers as a professional partner and expert in the industry.</w:t>
      </w:r>
    </w:p>
    <w:p w14:paraId="2FB2E947" w14:textId="77777777" w:rsidR="00AF3B29" w:rsidRDefault="00AF3B29" w:rsidP="00AF3B29">
      <w:pPr>
        <w:spacing w:line="360" w:lineRule="auto"/>
        <w:ind w:left="0"/>
        <w:jc w:val="both"/>
        <w:rPr>
          <w:rFonts w:ascii="Calibri" w:hAnsi="Calibri" w:cs="Calibri"/>
          <w:b/>
          <w:i/>
          <w:spacing w:val="0"/>
          <w:sz w:val="21"/>
          <w:szCs w:val="21"/>
        </w:rPr>
      </w:pPr>
    </w:p>
    <w:p w14:paraId="1C072308" w14:textId="36D54B34" w:rsidR="00D5021D" w:rsidRPr="00ED5DD9" w:rsidRDefault="00D5021D" w:rsidP="00AF3B29">
      <w:pPr>
        <w:spacing w:after="240" w:line="360" w:lineRule="auto"/>
        <w:ind w:left="0"/>
        <w:jc w:val="both"/>
        <w:rPr>
          <w:rFonts w:ascii="Calibri" w:hAnsi="Calibri" w:cs="Calibri"/>
          <w:b/>
          <w:spacing w:val="0"/>
          <w:sz w:val="21"/>
          <w:szCs w:val="21"/>
        </w:rPr>
      </w:pPr>
      <w:r>
        <w:rPr>
          <w:rFonts w:ascii="Calibri" w:hAnsi="Calibri"/>
          <w:b/>
          <w:i/>
          <w:sz w:val="21"/>
        </w:rPr>
        <w:t xml:space="preserve">Note to editor: </w:t>
      </w:r>
      <w:r>
        <w:rPr>
          <w:rFonts w:ascii="Calibri" w:hAnsi="Calibri"/>
          <w:b/>
          <w:sz w:val="21"/>
        </w:rPr>
        <w:t>Text and images are available at www.pr-box.de!</w:t>
      </w:r>
    </w:p>
    <w:p w14:paraId="332ADC2F" w14:textId="77777777" w:rsidR="00342ABE" w:rsidRPr="00787BD0" w:rsidRDefault="00342ABE" w:rsidP="00914748">
      <w:pPr>
        <w:ind w:left="0"/>
        <w:jc w:val="both"/>
        <w:rPr>
          <w:rFonts w:ascii="Calibri" w:hAnsi="Calibri" w:cs="Calibri"/>
          <w:b/>
          <w:spacing w:val="0"/>
          <w:sz w:val="16"/>
        </w:rPr>
      </w:pPr>
    </w:p>
    <w:tbl>
      <w:tblPr>
        <w:tblW w:w="0" w:type="auto"/>
        <w:tblCellMar>
          <w:left w:w="70" w:type="dxa"/>
          <w:right w:w="70" w:type="dxa"/>
        </w:tblCellMar>
        <w:tblLook w:val="0000" w:firstRow="0" w:lastRow="0" w:firstColumn="0" w:lastColumn="0" w:noHBand="0" w:noVBand="0"/>
      </w:tblPr>
      <w:tblGrid>
        <w:gridCol w:w="5456"/>
        <w:gridCol w:w="3048"/>
      </w:tblGrid>
      <w:tr w:rsidR="00D5021D" w:rsidRPr="00787BD0" w14:paraId="56697C85" w14:textId="77777777" w:rsidTr="00713461">
        <w:tc>
          <w:tcPr>
            <w:tcW w:w="5457" w:type="dxa"/>
          </w:tcPr>
          <w:p w14:paraId="5A20B502" w14:textId="77777777" w:rsidR="00D5021D" w:rsidRPr="00787BD0" w:rsidRDefault="00D5021D" w:rsidP="00914748">
            <w:pPr>
              <w:ind w:left="0"/>
              <w:rPr>
                <w:rFonts w:ascii="Calibri" w:hAnsi="Calibri" w:cs="Calibri"/>
                <w:b/>
                <w:spacing w:val="0"/>
                <w:sz w:val="21"/>
                <w:szCs w:val="21"/>
              </w:rPr>
            </w:pPr>
            <w:r>
              <w:rPr>
                <w:rFonts w:ascii="Calibri" w:hAnsi="Calibri"/>
                <w:b/>
                <w:sz w:val="21"/>
              </w:rPr>
              <w:t>Provider:</w:t>
            </w:r>
          </w:p>
        </w:tc>
        <w:tc>
          <w:tcPr>
            <w:tcW w:w="3048" w:type="dxa"/>
          </w:tcPr>
          <w:p w14:paraId="33CCE492" w14:textId="77777777" w:rsidR="00D5021D" w:rsidRPr="00787BD0" w:rsidRDefault="00D5021D" w:rsidP="00914748">
            <w:pPr>
              <w:ind w:left="0"/>
              <w:rPr>
                <w:rFonts w:ascii="Calibri" w:hAnsi="Calibri" w:cs="Calibri"/>
                <w:b/>
                <w:spacing w:val="0"/>
                <w:sz w:val="21"/>
                <w:szCs w:val="21"/>
              </w:rPr>
            </w:pPr>
            <w:r>
              <w:rPr>
                <w:rFonts w:ascii="Calibri" w:hAnsi="Calibri"/>
                <w:b/>
                <w:sz w:val="21"/>
              </w:rPr>
              <w:t>Media agency:</w:t>
            </w:r>
          </w:p>
        </w:tc>
      </w:tr>
      <w:tr w:rsidR="00D5021D" w:rsidRPr="00787BD0" w14:paraId="25470C52" w14:textId="77777777" w:rsidTr="00713461">
        <w:tc>
          <w:tcPr>
            <w:tcW w:w="5457" w:type="dxa"/>
          </w:tcPr>
          <w:p w14:paraId="27DADF19" w14:textId="72FB4CAA" w:rsidR="00D5021D" w:rsidRPr="00787BD0" w:rsidRDefault="00D5021D" w:rsidP="009E2339">
            <w:pPr>
              <w:ind w:left="0"/>
              <w:rPr>
                <w:rFonts w:ascii="Calibri" w:hAnsi="Calibri" w:cs="Calibri"/>
                <w:spacing w:val="0"/>
                <w:sz w:val="21"/>
                <w:szCs w:val="21"/>
              </w:rPr>
            </w:pPr>
            <w:r>
              <w:rPr>
                <w:rFonts w:ascii="Calibri" w:hAnsi="Calibri"/>
                <w:sz w:val="21"/>
              </w:rPr>
              <w:t xml:space="preserve">Herbert </w:t>
            </w:r>
            <w:proofErr w:type="spellStart"/>
            <w:r>
              <w:rPr>
                <w:rFonts w:ascii="Calibri" w:hAnsi="Calibri"/>
                <w:sz w:val="21"/>
              </w:rPr>
              <w:t>Schümann</w:t>
            </w:r>
            <w:proofErr w:type="spellEnd"/>
            <w:r>
              <w:rPr>
                <w:rFonts w:ascii="Calibri" w:hAnsi="Calibri"/>
                <w:sz w:val="21"/>
              </w:rPr>
              <w:t xml:space="preserve"> </w:t>
            </w:r>
            <w:proofErr w:type="spellStart"/>
            <w:r>
              <w:rPr>
                <w:rFonts w:ascii="Calibri" w:hAnsi="Calibri"/>
                <w:sz w:val="21"/>
              </w:rPr>
              <w:t>Papierverarbeitungswerk</w:t>
            </w:r>
            <w:proofErr w:type="spellEnd"/>
            <w:r>
              <w:rPr>
                <w:rFonts w:ascii="Calibri" w:hAnsi="Calibri"/>
                <w:sz w:val="21"/>
              </w:rPr>
              <w:t xml:space="preserve"> GmbH</w:t>
            </w:r>
          </w:p>
        </w:tc>
        <w:tc>
          <w:tcPr>
            <w:tcW w:w="3048" w:type="dxa"/>
          </w:tcPr>
          <w:p w14:paraId="12AD8153" w14:textId="77777777" w:rsidR="00D5021D" w:rsidRPr="00787BD0" w:rsidRDefault="00D5021D" w:rsidP="00914748">
            <w:pPr>
              <w:ind w:left="0"/>
              <w:rPr>
                <w:rFonts w:ascii="Calibri" w:hAnsi="Calibri" w:cs="Calibri"/>
                <w:spacing w:val="0"/>
                <w:sz w:val="21"/>
                <w:szCs w:val="21"/>
              </w:rPr>
            </w:pPr>
            <w:r>
              <w:rPr>
                <w:rFonts w:ascii="Calibri" w:hAnsi="Calibri"/>
                <w:sz w:val="21"/>
              </w:rPr>
              <w:t>Graf &amp; Creative PR</w:t>
            </w:r>
          </w:p>
        </w:tc>
      </w:tr>
      <w:tr w:rsidR="00D5021D" w:rsidRPr="00787BD0" w14:paraId="1C41E661" w14:textId="77777777" w:rsidTr="00713461">
        <w:tc>
          <w:tcPr>
            <w:tcW w:w="5457" w:type="dxa"/>
          </w:tcPr>
          <w:p w14:paraId="31B05DFD" w14:textId="77777777" w:rsidR="00D5021D" w:rsidRPr="00787BD0" w:rsidRDefault="00E506C8" w:rsidP="00914748">
            <w:pPr>
              <w:ind w:left="0"/>
              <w:rPr>
                <w:rFonts w:ascii="Calibri" w:hAnsi="Calibri" w:cs="Calibri"/>
                <w:spacing w:val="0"/>
                <w:sz w:val="21"/>
                <w:szCs w:val="21"/>
              </w:rPr>
            </w:pPr>
            <w:r>
              <w:rPr>
                <w:rFonts w:ascii="Calibri" w:hAnsi="Calibri"/>
                <w:sz w:val="21"/>
              </w:rPr>
              <w:t xml:space="preserve">Jürgen </w:t>
            </w:r>
            <w:proofErr w:type="spellStart"/>
            <w:r>
              <w:rPr>
                <w:rFonts w:ascii="Calibri" w:hAnsi="Calibri"/>
                <w:sz w:val="21"/>
              </w:rPr>
              <w:t>Teschner</w:t>
            </w:r>
            <w:proofErr w:type="spellEnd"/>
          </w:p>
        </w:tc>
        <w:tc>
          <w:tcPr>
            <w:tcW w:w="3048" w:type="dxa"/>
          </w:tcPr>
          <w:p w14:paraId="56126F3A" w14:textId="77777777" w:rsidR="00D5021D" w:rsidRPr="00787BD0" w:rsidRDefault="00D5021D" w:rsidP="00914748">
            <w:pPr>
              <w:ind w:left="0"/>
              <w:rPr>
                <w:rFonts w:ascii="Calibri" w:hAnsi="Calibri" w:cs="Calibri"/>
                <w:spacing w:val="0"/>
                <w:sz w:val="21"/>
                <w:szCs w:val="21"/>
              </w:rPr>
            </w:pPr>
            <w:r>
              <w:rPr>
                <w:rFonts w:ascii="Calibri" w:hAnsi="Calibri"/>
                <w:sz w:val="21"/>
              </w:rPr>
              <w:t>Robert-Bosch-Str. 7</w:t>
            </w:r>
          </w:p>
        </w:tc>
      </w:tr>
      <w:tr w:rsidR="00D5021D" w:rsidRPr="00787BD0" w14:paraId="208F0011" w14:textId="77777777" w:rsidTr="00713461">
        <w:tc>
          <w:tcPr>
            <w:tcW w:w="5457" w:type="dxa"/>
          </w:tcPr>
          <w:p w14:paraId="272FD6B4" w14:textId="452F9EC7" w:rsidR="00D5021D" w:rsidRPr="00787BD0" w:rsidRDefault="00D5021D" w:rsidP="009E2339">
            <w:pPr>
              <w:ind w:left="0"/>
              <w:rPr>
                <w:rFonts w:ascii="Calibri" w:hAnsi="Calibri" w:cs="Calibri"/>
                <w:spacing w:val="0"/>
                <w:sz w:val="21"/>
                <w:szCs w:val="21"/>
              </w:rPr>
            </w:pPr>
            <w:proofErr w:type="spellStart"/>
            <w:r>
              <w:rPr>
                <w:rFonts w:ascii="Calibri" w:hAnsi="Calibri"/>
                <w:sz w:val="21"/>
              </w:rPr>
              <w:t>Neckarstra</w:t>
            </w:r>
            <w:r w:rsidR="009E2339">
              <w:rPr>
                <w:rFonts w:ascii="Calibri" w:hAnsi="Calibri"/>
                <w:sz w:val="21"/>
              </w:rPr>
              <w:t>ss</w:t>
            </w:r>
            <w:r>
              <w:rPr>
                <w:rFonts w:ascii="Calibri" w:hAnsi="Calibri"/>
                <w:sz w:val="21"/>
              </w:rPr>
              <w:t>e</w:t>
            </w:r>
            <w:proofErr w:type="spellEnd"/>
            <w:r>
              <w:rPr>
                <w:rFonts w:ascii="Calibri" w:hAnsi="Calibri"/>
                <w:sz w:val="21"/>
              </w:rPr>
              <w:t xml:space="preserve"> 15</w:t>
            </w:r>
          </w:p>
        </w:tc>
        <w:tc>
          <w:tcPr>
            <w:tcW w:w="3048" w:type="dxa"/>
          </w:tcPr>
          <w:p w14:paraId="714C8B75" w14:textId="77777777" w:rsidR="00D5021D" w:rsidRPr="00787BD0" w:rsidRDefault="00D5021D" w:rsidP="00914748">
            <w:pPr>
              <w:ind w:left="0"/>
              <w:rPr>
                <w:rFonts w:ascii="Calibri" w:hAnsi="Calibri" w:cs="Calibri"/>
                <w:spacing w:val="0"/>
                <w:sz w:val="21"/>
                <w:szCs w:val="21"/>
              </w:rPr>
            </w:pPr>
            <w:r>
              <w:rPr>
                <w:rFonts w:ascii="Calibri" w:hAnsi="Calibri"/>
                <w:sz w:val="21"/>
              </w:rPr>
              <w:t>D-64293 Darmstadt</w:t>
            </w:r>
          </w:p>
        </w:tc>
      </w:tr>
      <w:tr w:rsidR="00D5021D" w:rsidRPr="00787BD0" w14:paraId="2B0B3F58" w14:textId="77777777" w:rsidTr="00713461">
        <w:tc>
          <w:tcPr>
            <w:tcW w:w="5457" w:type="dxa"/>
          </w:tcPr>
          <w:p w14:paraId="290249B2" w14:textId="77777777" w:rsidR="00D5021D" w:rsidRPr="00787BD0" w:rsidRDefault="00D5021D" w:rsidP="00914748">
            <w:pPr>
              <w:ind w:left="0"/>
              <w:rPr>
                <w:rFonts w:ascii="Calibri" w:hAnsi="Calibri" w:cs="Calibri"/>
                <w:spacing w:val="0"/>
                <w:sz w:val="21"/>
                <w:szCs w:val="21"/>
              </w:rPr>
            </w:pPr>
            <w:r>
              <w:rPr>
                <w:rFonts w:ascii="Calibri" w:hAnsi="Calibri"/>
                <w:sz w:val="21"/>
              </w:rPr>
              <w:t xml:space="preserve">D-35260 </w:t>
            </w:r>
            <w:proofErr w:type="spellStart"/>
            <w:r>
              <w:rPr>
                <w:rFonts w:ascii="Calibri" w:hAnsi="Calibri"/>
                <w:sz w:val="21"/>
              </w:rPr>
              <w:t>Stadtallendorf</w:t>
            </w:r>
            <w:proofErr w:type="spellEnd"/>
          </w:p>
        </w:tc>
        <w:tc>
          <w:tcPr>
            <w:tcW w:w="3048" w:type="dxa"/>
          </w:tcPr>
          <w:p w14:paraId="57D1EA02" w14:textId="77777777" w:rsidR="00D5021D" w:rsidRPr="00787BD0" w:rsidRDefault="00D5021D" w:rsidP="00914748">
            <w:pPr>
              <w:ind w:left="0"/>
              <w:rPr>
                <w:rFonts w:ascii="Calibri" w:hAnsi="Calibri" w:cs="Calibri"/>
                <w:spacing w:val="0"/>
                <w:sz w:val="21"/>
                <w:szCs w:val="21"/>
              </w:rPr>
            </w:pPr>
            <w:r>
              <w:rPr>
                <w:rFonts w:ascii="Calibri" w:hAnsi="Calibri"/>
                <w:sz w:val="21"/>
              </w:rPr>
              <w:t>Tel.: 0049 (0) 61 51 / 42 87 91-0</w:t>
            </w:r>
          </w:p>
        </w:tc>
      </w:tr>
      <w:tr w:rsidR="00D5021D" w:rsidRPr="00787BD0" w14:paraId="0B388C14" w14:textId="77777777" w:rsidTr="00713461">
        <w:tc>
          <w:tcPr>
            <w:tcW w:w="5457" w:type="dxa"/>
          </w:tcPr>
          <w:p w14:paraId="6989ED08" w14:textId="767C7711" w:rsidR="00D5021D" w:rsidRPr="00787BD0" w:rsidRDefault="00D5021D" w:rsidP="00E629E5">
            <w:pPr>
              <w:ind w:left="0"/>
              <w:rPr>
                <w:rFonts w:ascii="Calibri" w:hAnsi="Calibri" w:cs="Calibri"/>
                <w:spacing w:val="0"/>
                <w:sz w:val="21"/>
                <w:szCs w:val="21"/>
              </w:rPr>
            </w:pPr>
            <w:r>
              <w:rPr>
                <w:rFonts w:ascii="Calibri" w:hAnsi="Calibri"/>
                <w:sz w:val="21"/>
              </w:rPr>
              <w:t>Tel.: 0049 (0) 64 28 / 7</w:t>
            </w:r>
            <w:r w:rsidR="00E629E5">
              <w:rPr>
                <w:rFonts w:ascii="Calibri" w:hAnsi="Calibri"/>
                <w:sz w:val="21"/>
              </w:rPr>
              <w:t xml:space="preserve"> </w:t>
            </w:r>
            <w:r>
              <w:rPr>
                <w:rFonts w:ascii="Calibri" w:hAnsi="Calibri"/>
                <w:sz w:val="21"/>
              </w:rPr>
              <w:t>0</w:t>
            </w:r>
            <w:bookmarkStart w:id="1" w:name="_GoBack"/>
            <w:bookmarkEnd w:id="1"/>
            <w:r>
              <w:rPr>
                <w:rFonts w:ascii="Calibri" w:hAnsi="Calibri"/>
                <w:sz w:val="21"/>
              </w:rPr>
              <w:t>6</w:t>
            </w:r>
            <w:r w:rsidR="00E629E5">
              <w:rPr>
                <w:rFonts w:ascii="Calibri" w:hAnsi="Calibri"/>
                <w:sz w:val="21"/>
              </w:rPr>
              <w:t>-</w:t>
            </w:r>
            <w:r>
              <w:rPr>
                <w:rFonts w:ascii="Calibri" w:hAnsi="Calibri"/>
                <w:sz w:val="21"/>
              </w:rPr>
              <w:t>0</w:t>
            </w:r>
          </w:p>
        </w:tc>
        <w:tc>
          <w:tcPr>
            <w:tcW w:w="3048" w:type="dxa"/>
          </w:tcPr>
          <w:p w14:paraId="6B57327B" w14:textId="77777777" w:rsidR="00D5021D" w:rsidRPr="00787BD0" w:rsidRDefault="00D5021D" w:rsidP="00914748">
            <w:pPr>
              <w:ind w:left="0"/>
              <w:rPr>
                <w:rFonts w:ascii="Calibri" w:hAnsi="Calibri" w:cs="Calibri"/>
                <w:spacing w:val="0"/>
                <w:sz w:val="21"/>
                <w:szCs w:val="21"/>
              </w:rPr>
            </w:pPr>
            <w:r>
              <w:rPr>
                <w:rFonts w:ascii="Calibri" w:hAnsi="Calibri"/>
                <w:sz w:val="21"/>
              </w:rPr>
              <w:t>Fax: 0049 (0) 61 51 / 42 87 91-9</w:t>
            </w:r>
          </w:p>
        </w:tc>
      </w:tr>
      <w:tr w:rsidR="00ED5DD9" w:rsidRPr="00ED5DD9" w14:paraId="38D8FD5D" w14:textId="77777777" w:rsidTr="00713461">
        <w:tc>
          <w:tcPr>
            <w:tcW w:w="5457" w:type="dxa"/>
          </w:tcPr>
          <w:p w14:paraId="13628441" w14:textId="0BE66CFA" w:rsidR="00D5021D" w:rsidRPr="00ED5DD9" w:rsidRDefault="00D5021D" w:rsidP="00E629E5">
            <w:pPr>
              <w:ind w:left="0"/>
              <w:rPr>
                <w:rFonts w:ascii="Calibri" w:hAnsi="Calibri" w:cs="Calibri"/>
                <w:spacing w:val="0"/>
                <w:sz w:val="21"/>
                <w:szCs w:val="21"/>
              </w:rPr>
            </w:pPr>
            <w:r>
              <w:rPr>
                <w:rFonts w:ascii="Calibri" w:hAnsi="Calibri"/>
                <w:sz w:val="21"/>
              </w:rPr>
              <w:t>Fax: 0049 (0) 64 28 / 7 06</w:t>
            </w:r>
            <w:r w:rsidR="00E629E5">
              <w:rPr>
                <w:rFonts w:ascii="Calibri" w:hAnsi="Calibri"/>
                <w:sz w:val="21"/>
              </w:rPr>
              <w:t>-</w:t>
            </w:r>
            <w:r>
              <w:rPr>
                <w:rFonts w:ascii="Calibri" w:hAnsi="Calibri"/>
                <w:sz w:val="21"/>
              </w:rPr>
              <w:t>60</w:t>
            </w:r>
          </w:p>
        </w:tc>
        <w:tc>
          <w:tcPr>
            <w:tcW w:w="3048" w:type="dxa"/>
          </w:tcPr>
          <w:p w14:paraId="457872CD" w14:textId="77777777" w:rsidR="00D5021D" w:rsidRPr="00ED5DD9" w:rsidRDefault="00D5021D" w:rsidP="00914748">
            <w:pPr>
              <w:ind w:left="0"/>
              <w:rPr>
                <w:rFonts w:ascii="Calibri" w:hAnsi="Calibri" w:cs="Calibri"/>
                <w:spacing w:val="0"/>
                <w:sz w:val="21"/>
                <w:szCs w:val="21"/>
              </w:rPr>
            </w:pPr>
            <w:r>
              <w:rPr>
                <w:rFonts w:ascii="Calibri" w:hAnsi="Calibri"/>
                <w:sz w:val="21"/>
              </w:rPr>
              <w:t xml:space="preserve">Email: </w:t>
            </w:r>
            <w:hyperlink r:id="rId4" w:history="1">
              <w:r>
                <w:rPr>
                  <w:rStyle w:val="Hyperlink"/>
                  <w:rFonts w:ascii="Calibri" w:hAnsi="Calibri"/>
                  <w:color w:val="auto"/>
                  <w:sz w:val="21"/>
                  <w:u w:val="none"/>
                </w:rPr>
                <w:t>info@guc.biz</w:t>
              </w:r>
            </w:hyperlink>
          </w:p>
        </w:tc>
      </w:tr>
      <w:tr w:rsidR="00ED5DD9" w:rsidRPr="00ED5DD9" w14:paraId="5BA50C13" w14:textId="77777777" w:rsidTr="00713461">
        <w:tc>
          <w:tcPr>
            <w:tcW w:w="5457" w:type="dxa"/>
          </w:tcPr>
          <w:p w14:paraId="777C98EC" w14:textId="77777777" w:rsidR="00D5021D" w:rsidRPr="00ED5DD9" w:rsidRDefault="00D5021D" w:rsidP="00914748">
            <w:pPr>
              <w:ind w:left="0"/>
              <w:rPr>
                <w:rFonts w:ascii="Calibri" w:hAnsi="Calibri" w:cs="Calibri"/>
                <w:spacing w:val="0"/>
                <w:sz w:val="21"/>
                <w:szCs w:val="21"/>
              </w:rPr>
            </w:pPr>
            <w:r>
              <w:rPr>
                <w:rFonts w:ascii="Calibri" w:hAnsi="Calibri"/>
                <w:sz w:val="21"/>
              </w:rPr>
              <w:t xml:space="preserve">Email: </w:t>
            </w:r>
            <w:hyperlink r:id="rId5" w:history="1">
              <w:r>
                <w:rPr>
                  <w:rStyle w:val="Hyperlink"/>
                  <w:rFonts w:ascii="Calibri" w:hAnsi="Calibri"/>
                  <w:color w:val="auto"/>
                  <w:sz w:val="21"/>
                  <w:u w:val="none"/>
                </w:rPr>
                <w:t>info@schuemann-herbert.com</w:t>
              </w:r>
            </w:hyperlink>
          </w:p>
        </w:tc>
        <w:tc>
          <w:tcPr>
            <w:tcW w:w="3048" w:type="dxa"/>
          </w:tcPr>
          <w:p w14:paraId="02038229" w14:textId="77777777" w:rsidR="00D5021D" w:rsidRPr="00ED5DD9" w:rsidRDefault="00D5021D" w:rsidP="00914748">
            <w:pPr>
              <w:ind w:left="0"/>
              <w:rPr>
                <w:rFonts w:ascii="Calibri" w:hAnsi="Calibri" w:cs="Calibri"/>
                <w:spacing w:val="0"/>
                <w:sz w:val="21"/>
                <w:szCs w:val="21"/>
              </w:rPr>
            </w:pPr>
            <w:r>
              <w:rPr>
                <w:rFonts w:ascii="Calibri" w:hAnsi="Calibri"/>
                <w:sz w:val="21"/>
              </w:rPr>
              <w:t xml:space="preserve">Internet: </w:t>
            </w:r>
            <w:hyperlink r:id="rId6" w:history="1">
              <w:r>
                <w:rPr>
                  <w:rStyle w:val="Hyperlink"/>
                  <w:rFonts w:ascii="Calibri" w:hAnsi="Calibri"/>
                  <w:color w:val="auto"/>
                  <w:sz w:val="21"/>
                  <w:u w:val="none"/>
                </w:rPr>
                <w:t>www.pr-box.de</w:t>
              </w:r>
            </w:hyperlink>
          </w:p>
        </w:tc>
      </w:tr>
      <w:tr w:rsidR="00ED5DD9" w:rsidRPr="00ED5DD9" w14:paraId="1D75F6B9" w14:textId="77777777" w:rsidTr="00713461">
        <w:tc>
          <w:tcPr>
            <w:tcW w:w="5457" w:type="dxa"/>
          </w:tcPr>
          <w:p w14:paraId="65CD230C" w14:textId="77777777" w:rsidR="00D5021D" w:rsidRPr="00ED5DD9" w:rsidRDefault="00D5021D" w:rsidP="00914748">
            <w:pPr>
              <w:ind w:left="0"/>
              <w:rPr>
                <w:rFonts w:ascii="Calibri" w:hAnsi="Calibri" w:cs="Calibri"/>
                <w:spacing w:val="0"/>
                <w:sz w:val="21"/>
                <w:szCs w:val="21"/>
              </w:rPr>
            </w:pPr>
            <w:r>
              <w:rPr>
                <w:rFonts w:ascii="Calibri" w:hAnsi="Calibri"/>
                <w:sz w:val="21"/>
              </w:rPr>
              <w:t xml:space="preserve">Internet: </w:t>
            </w:r>
            <w:hyperlink r:id="rId7" w:history="1">
              <w:r>
                <w:rPr>
                  <w:rStyle w:val="Hyperlink"/>
                  <w:rFonts w:ascii="Calibri" w:hAnsi="Calibri"/>
                  <w:color w:val="auto"/>
                  <w:sz w:val="21"/>
                  <w:u w:val="none"/>
                </w:rPr>
                <w:t>www.schuemann-herbert.com</w:t>
              </w:r>
            </w:hyperlink>
          </w:p>
        </w:tc>
        <w:tc>
          <w:tcPr>
            <w:tcW w:w="3048" w:type="dxa"/>
          </w:tcPr>
          <w:p w14:paraId="09C674A8" w14:textId="77777777" w:rsidR="00D5021D" w:rsidRPr="00ED5DD9" w:rsidRDefault="00D5021D" w:rsidP="00914748">
            <w:pPr>
              <w:ind w:left="0"/>
              <w:rPr>
                <w:rFonts w:ascii="Calibri" w:hAnsi="Calibri" w:cs="Calibri"/>
                <w:spacing w:val="0"/>
                <w:sz w:val="21"/>
                <w:szCs w:val="21"/>
              </w:rPr>
            </w:pPr>
          </w:p>
        </w:tc>
      </w:tr>
    </w:tbl>
    <w:p w14:paraId="5186D8B2" w14:textId="77777777" w:rsidR="00D5021D" w:rsidRPr="00713461" w:rsidRDefault="00D5021D" w:rsidP="00914748">
      <w:pPr>
        <w:ind w:left="0"/>
        <w:rPr>
          <w:rFonts w:ascii="Calibri" w:hAnsi="Calibri" w:cs="Calibri"/>
          <w:spacing w:val="0"/>
          <w:sz w:val="21"/>
          <w:szCs w:val="21"/>
        </w:rPr>
      </w:pPr>
    </w:p>
    <w:sectPr w:rsidR="00D5021D" w:rsidRPr="00713461" w:rsidSect="00AF3B29">
      <w:pgSz w:w="11907" w:h="16840"/>
      <w:pgMar w:top="1134" w:right="1985" w:bottom="993"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7D2"/>
    <w:rsid w:val="00022F6D"/>
    <w:rsid w:val="00036479"/>
    <w:rsid w:val="00043019"/>
    <w:rsid w:val="0004734E"/>
    <w:rsid w:val="00054C87"/>
    <w:rsid w:val="000730E7"/>
    <w:rsid w:val="00077523"/>
    <w:rsid w:val="00080A1C"/>
    <w:rsid w:val="00087741"/>
    <w:rsid w:val="00087BAF"/>
    <w:rsid w:val="00097C1F"/>
    <w:rsid w:val="000A175D"/>
    <w:rsid w:val="000A6729"/>
    <w:rsid w:val="000B69BF"/>
    <w:rsid w:val="000B7128"/>
    <w:rsid w:val="000C4696"/>
    <w:rsid w:val="00120A7B"/>
    <w:rsid w:val="001301BD"/>
    <w:rsid w:val="00136CBE"/>
    <w:rsid w:val="00141282"/>
    <w:rsid w:val="00141773"/>
    <w:rsid w:val="00145511"/>
    <w:rsid w:val="00147E93"/>
    <w:rsid w:val="00162C6C"/>
    <w:rsid w:val="00170B0B"/>
    <w:rsid w:val="00173064"/>
    <w:rsid w:val="001A457F"/>
    <w:rsid w:val="001A6B82"/>
    <w:rsid w:val="001B0143"/>
    <w:rsid w:val="001B50A9"/>
    <w:rsid w:val="001C0B25"/>
    <w:rsid w:val="001C708C"/>
    <w:rsid w:val="001D2B81"/>
    <w:rsid w:val="001D52D4"/>
    <w:rsid w:val="001E4010"/>
    <w:rsid w:val="001F294B"/>
    <w:rsid w:val="001F298D"/>
    <w:rsid w:val="001F5358"/>
    <w:rsid w:val="00207998"/>
    <w:rsid w:val="00220598"/>
    <w:rsid w:val="0022435D"/>
    <w:rsid w:val="0025320F"/>
    <w:rsid w:val="00273998"/>
    <w:rsid w:val="00286B28"/>
    <w:rsid w:val="00292BF3"/>
    <w:rsid w:val="00294215"/>
    <w:rsid w:val="0029619D"/>
    <w:rsid w:val="002B0260"/>
    <w:rsid w:val="002C0BA4"/>
    <w:rsid w:val="002C20CF"/>
    <w:rsid w:val="002C29AA"/>
    <w:rsid w:val="002D4CCA"/>
    <w:rsid w:val="002E4E90"/>
    <w:rsid w:val="002F429B"/>
    <w:rsid w:val="00304678"/>
    <w:rsid w:val="00305EA4"/>
    <w:rsid w:val="0031104C"/>
    <w:rsid w:val="00316665"/>
    <w:rsid w:val="00326353"/>
    <w:rsid w:val="00330A86"/>
    <w:rsid w:val="003314CB"/>
    <w:rsid w:val="003411BC"/>
    <w:rsid w:val="00342ABE"/>
    <w:rsid w:val="00352263"/>
    <w:rsid w:val="00382911"/>
    <w:rsid w:val="0039111A"/>
    <w:rsid w:val="003C24BA"/>
    <w:rsid w:val="003C43EE"/>
    <w:rsid w:val="003D5AB8"/>
    <w:rsid w:val="003D685A"/>
    <w:rsid w:val="003E1FE2"/>
    <w:rsid w:val="003E21B2"/>
    <w:rsid w:val="003F3895"/>
    <w:rsid w:val="00410169"/>
    <w:rsid w:val="00413C7D"/>
    <w:rsid w:val="004141D0"/>
    <w:rsid w:val="00416305"/>
    <w:rsid w:val="00433014"/>
    <w:rsid w:val="004420B0"/>
    <w:rsid w:val="00444A2B"/>
    <w:rsid w:val="00457A11"/>
    <w:rsid w:val="0046357F"/>
    <w:rsid w:val="00476225"/>
    <w:rsid w:val="004852A5"/>
    <w:rsid w:val="004B0B60"/>
    <w:rsid w:val="004B1D9B"/>
    <w:rsid w:val="004B3F62"/>
    <w:rsid w:val="004B6160"/>
    <w:rsid w:val="004E468F"/>
    <w:rsid w:val="004F2D02"/>
    <w:rsid w:val="004F417F"/>
    <w:rsid w:val="00530F6E"/>
    <w:rsid w:val="00545290"/>
    <w:rsid w:val="00546126"/>
    <w:rsid w:val="00551993"/>
    <w:rsid w:val="0055277E"/>
    <w:rsid w:val="00560DF8"/>
    <w:rsid w:val="00577805"/>
    <w:rsid w:val="00584E1D"/>
    <w:rsid w:val="00594F05"/>
    <w:rsid w:val="00597B5C"/>
    <w:rsid w:val="005A17B7"/>
    <w:rsid w:val="005A560A"/>
    <w:rsid w:val="005B48C5"/>
    <w:rsid w:val="005B4CD8"/>
    <w:rsid w:val="005B6FDD"/>
    <w:rsid w:val="005D2F1C"/>
    <w:rsid w:val="005F467A"/>
    <w:rsid w:val="0060532A"/>
    <w:rsid w:val="00607756"/>
    <w:rsid w:val="006101D5"/>
    <w:rsid w:val="0062346A"/>
    <w:rsid w:val="00624CA7"/>
    <w:rsid w:val="00631970"/>
    <w:rsid w:val="00634114"/>
    <w:rsid w:val="00637FDB"/>
    <w:rsid w:val="006419CB"/>
    <w:rsid w:val="00660530"/>
    <w:rsid w:val="00666A05"/>
    <w:rsid w:val="00667C7E"/>
    <w:rsid w:val="00671BF6"/>
    <w:rsid w:val="006750D9"/>
    <w:rsid w:val="0069319F"/>
    <w:rsid w:val="006A0F98"/>
    <w:rsid w:val="006B451C"/>
    <w:rsid w:val="006D2E24"/>
    <w:rsid w:val="006D437D"/>
    <w:rsid w:val="006E6776"/>
    <w:rsid w:val="006E684A"/>
    <w:rsid w:val="006F2964"/>
    <w:rsid w:val="006F4739"/>
    <w:rsid w:val="006F7556"/>
    <w:rsid w:val="006F7A44"/>
    <w:rsid w:val="00700157"/>
    <w:rsid w:val="00713461"/>
    <w:rsid w:val="00717EDE"/>
    <w:rsid w:val="0072186A"/>
    <w:rsid w:val="007220D8"/>
    <w:rsid w:val="00722552"/>
    <w:rsid w:val="0072739E"/>
    <w:rsid w:val="00727B81"/>
    <w:rsid w:val="007341C8"/>
    <w:rsid w:val="007348C9"/>
    <w:rsid w:val="00763204"/>
    <w:rsid w:val="00764CBA"/>
    <w:rsid w:val="007668D4"/>
    <w:rsid w:val="00771D55"/>
    <w:rsid w:val="00774116"/>
    <w:rsid w:val="0078062D"/>
    <w:rsid w:val="00780FF9"/>
    <w:rsid w:val="007814C3"/>
    <w:rsid w:val="00787BD0"/>
    <w:rsid w:val="007A2AD6"/>
    <w:rsid w:val="007C0623"/>
    <w:rsid w:val="007C33C3"/>
    <w:rsid w:val="007C360F"/>
    <w:rsid w:val="007C5F6B"/>
    <w:rsid w:val="007C73DA"/>
    <w:rsid w:val="007D1846"/>
    <w:rsid w:val="007E7179"/>
    <w:rsid w:val="007F2A53"/>
    <w:rsid w:val="008014F9"/>
    <w:rsid w:val="0080664E"/>
    <w:rsid w:val="008068F1"/>
    <w:rsid w:val="00816E6C"/>
    <w:rsid w:val="00820712"/>
    <w:rsid w:val="0082352F"/>
    <w:rsid w:val="00823BB1"/>
    <w:rsid w:val="008256B9"/>
    <w:rsid w:val="008314E9"/>
    <w:rsid w:val="00842882"/>
    <w:rsid w:val="008470DE"/>
    <w:rsid w:val="00861882"/>
    <w:rsid w:val="00864AE7"/>
    <w:rsid w:val="00875EB3"/>
    <w:rsid w:val="0089482D"/>
    <w:rsid w:val="008B2AFC"/>
    <w:rsid w:val="008C59F2"/>
    <w:rsid w:val="008C5BDB"/>
    <w:rsid w:val="008D452C"/>
    <w:rsid w:val="008D6B17"/>
    <w:rsid w:val="008D75E1"/>
    <w:rsid w:val="008E35A3"/>
    <w:rsid w:val="008F66DF"/>
    <w:rsid w:val="009009BC"/>
    <w:rsid w:val="00903854"/>
    <w:rsid w:val="00914748"/>
    <w:rsid w:val="00941C5A"/>
    <w:rsid w:val="00945D17"/>
    <w:rsid w:val="00950EFE"/>
    <w:rsid w:val="00953F88"/>
    <w:rsid w:val="00957190"/>
    <w:rsid w:val="00965262"/>
    <w:rsid w:val="00970F82"/>
    <w:rsid w:val="009737F2"/>
    <w:rsid w:val="009747B5"/>
    <w:rsid w:val="0098011C"/>
    <w:rsid w:val="00981398"/>
    <w:rsid w:val="009813F0"/>
    <w:rsid w:val="00981A5F"/>
    <w:rsid w:val="00986574"/>
    <w:rsid w:val="00992ABC"/>
    <w:rsid w:val="00996B9A"/>
    <w:rsid w:val="009A342D"/>
    <w:rsid w:val="009B4AAA"/>
    <w:rsid w:val="009B730B"/>
    <w:rsid w:val="009D374C"/>
    <w:rsid w:val="009D6575"/>
    <w:rsid w:val="009E2339"/>
    <w:rsid w:val="009F11F2"/>
    <w:rsid w:val="009F4C7D"/>
    <w:rsid w:val="00A059A9"/>
    <w:rsid w:val="00A123D7"/>
    <w:rsid w:val="00A25F2C"/>
    <w:rsid w:val="00A34CAD"/>
    <w:rsid w:val="00A37A5F"/>
    <w:rsid w:val="00A37CFE"/>
    <w:rsid w:val="00A429C6"/>
    <w:rsid w:val="00A4403B"/>
    <w:rsid w:val="00A50F7C"/>
    <w:rsid w:val="00A54B08"/>
    <w:rsid w:val="00A57AA5"/>
    <w:rsid w:val="00A6241A"/>
    <w:rsid w:val="00A80B77"/>
    <w:rsid w:val="00A834C0"/>
    <w:rsid w:val="00A852B8"/>
    <w:rsid w:val="00A9169F"/>
    <w:rsid w:val="00A93504"/>
    <w:rsid w:val="00A93B4E"/>
    <w:rsid w:val="00AA4F2A"/>
    <w:rsid w:val="00AA605B"/>
    <w:rsid w:val="00AC0FC9"/>
    <w:rsid w:val="00AD0291"/>
    <w:rsid w:val="00AD26A6"/>
    <w:rsid w:val="00AD37F3"/>
    <w:rsid w:val="00AD51B5"/>
    <w:rsid w:val="00AF3B29"/>
    <w:rsid w:val="00B16BEB"/>
    <w:rsid w:val="00B16D27"/>
    <w:rsid w:val="00B174B0"/>
    <w:rsid w:val="00B177D2"/>
    <w:rsid w:val="00B37D72"/>
    <w:rsid w:val="00B46D69"/>
    <w:rsid w:val="00B53477"/>
    <w:rsid w:val="00B634A6"/>
    <w:rsid w:val="00B7350F"/>
    <w:rsid w:val="00B73B5A"/>
    <w:rsid w:val="00B77366"/>
    <w:rsid w:val="00BA1F1E"/>
    <w:rsid w:val="00BA1FD3"/>
    <w:rsid w:val="00BB3CD3"/>
    <w:rsid w:val="00BB6F2A"/>
    <w:rsid w:val="00BC7049"/>
    <w:rsid w:val="00BD3119"/>
    <w:rsid w:val="00BF2B23"/>
    <w:rsid w:val="00BF2BDC"/>
    <w:rsid w:val="00BF3D67"/>
    <w:rsid w:val="00C051C7"/>
    <w:rsid w:val="00C0568C"/>
    <w:rsid w:val="00C17037"/>
    <w:rsid w:val="00C22C77"/>
    <w:rsid w:val="00C329D2"/>
    <w:rsid w:val="00C32A76"/>
    <w:rsid w:val="00C43E5E"/>
    <w:rsid w:val="00C673EB"/>
    <w:rsid w:val="00C734AA"/>
    <w:rsid w:val="00C73BE9"/>
    <w:rsid w:val="00C756F4"/>
    <w:rsid w:val="00C814D2"/>
    <w:rsid w:val="00CA1636"/>
    <w:rsid w:val="00CC2035"/>
    <w:rsid w:val="00CE04CF"/>
    <w:rsid w:val="00CE0BE2"/>
    <w:rsid w:val="00CF0957"/>
    <w:rsid w:val="00CF2EB8"/>
    <w:rsid w:val="00D006DD"/>
    <w:rsid w:val="00D03EC2"/>
    <w:rsid w:val="00D23A23"/>
    <w:rsid w:val="00D312B1"/>
    <w:rsid w:val="00D456AA"/>
    <w:rsid w:val="00D5021D"/>
    <w:rsid w:val="00D63356"/>
    <w:rsid w:val="00D66185"/>
    <w:rsid w:val="00D726BA"/>
    <w:rsid w:val="00D92096"/>
    <w:rsid w:val="00D923A7"/>
    <w:rsid w:val="00D96B4C"/>
    <w:rsid w:val="00D97911"/>
    <w:rsid w:val="00DA63E4"/>
    <w:rsid w:val="00DB0AA4"/>
    <w:rsid w:val="00DB0AE8"/>
    <w:rsid w:val="00DB7963"/>
    <w:rsid w:val="00DC101D"/>
    <w:rsid w:val="00DC4494"/>
    <w:rsid w:val="00DD0F9F"/>
    <w:rsid w:val="00DD584E"/>
    <w:rsid w:val="00DE7662"/>
    <w:rsid w:val="00DF0218"/>
    <w:rsid w:val="00DF121D"/>
    <w:rsid w:val="00DF1614"/>
    <w:rsid w:val="00E126E5"/>
    <w:rsid w:val="00E20064"/>
    <w:rsid w:val="00E22A72"/>
    <w:rsid w:val="00E25D44"/>
    <w:rsid w:val="00E31C7D"/>
    <w:rsid w:val="00E470C6"/>
    <w:rsid w:val="00E506C8"/>
    <w:rsid w:val="00E629E5"/>
    <w:rsid w:val="00E7666C"/>
    <w:rsid w:val="00E84A2B"/>
    <w:rsid w:val="00E84E2E"/>
    <w:rsid w:val="00E87050"/>
    <w:rsid w:val="00E9489C"/>
    <w:rsid w:val="00E97E9C"/>
    <w:rsid w:val="00EB2F21"/>
    <w:rsid w:val="00ED4F80"/>
    <w:rsid w:val="00ED5DD9"/>
    <w:rsid w:val="00ED6CCC"/>
    <w:rsid w:val="00EE6320"/>
    <w:rsid w:val="00EF2938"/>
    <w:rsid w:val="00EF6A17"/>
    <w:rsid w:val="00F02DA3"/>
    <w:rsid w:val="00F15BFA"/>
    <w:rsid w:val="00F238DC"/>
    <w:rsid w:val="00F33DFF"/>
    <w:rsid w:val="00F604C1"/>
    <w:rsid w:val="00F65D24"/>
    <w:rsid w:val="00F7661A"/>
    <w:rsid w:val="00F9399A"/>
    <w:rsid w:val="00F95D5C"/>
    <w:rsid w:val="00F96EF3"/>
    <w:rsid w:val="00F9712D"/>
    <w:rsid w:val="00FA7846"/>
    <w:rsid w:val="00FD4DAA"/>
    <w:rsid w:val="00FE0188"/>
    <w:rsid w:val="00FF2F64"/>
    <w:rsid w:val="00FF5E8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4D3CD5"/>
  <w15:docId w15:val="{7D1E4B9F-D9F8-46F6-8A72-F2B2C12F0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Textkrper">
    <w:name w:val="Body Text"/>
    <w:basedOn w:val="Standard"/>
    <w:semiHidden/>
    <w:pPr>
      <w:spacing w:line="360" w:lineRule="auto"/>
      <w:ind w:left="0"/>
    </w:pPr>
  </w:style>
  <w:style w:type="paragraph" w:styleId="Textkrper2">
    <w:name w:val="Body Text 2"/>
    <w:basedOn w:val="Standard"/>
    <w:semiHidden/>
    <w:pPr>
      <w:spacing w:line="360" w:lineRule="auto"/>
      <w:ind w:left="0"/>
      <w:jc w:val="both"/>
    </w:pPr>
    <w:rPr>
      <w:b/>
      <w:bCs/>
      <w:spacing w:val="-6"/>
      <w:sz w:val="21"/>
    </w:rPr>
  </w:style>
  <w:style w:type="paragraph" w:styleId="Sprechblasentext">
    <w:name w:val="Balloon Text"/>
    <w:basedOn w:val="Standard"/>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schuemann-herber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box.de" TargetMode="External"/><Relationship Id="rId5" Type="http://schemas.openxmlformats.org/officeDocument/2006/relationships/hyperlink" Target="mailto:info@schuemann-herbert.com" TargetMode="External"/><Relationship Id="rId4" Type="http://schemas.openxmlformats.org/officeDocument/2006/relationships/hyperlink" Target="mailto:info@guc.biz" TargetMode="Externa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856</Words>
  <Characters>4966</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PRESSE-INFORMATION</vt:lpstr>
    </vt:vector>
  </TitlesOfParts>
  <Company>Graf &amp; Creative PR</Company>
  <LinksUpToDate>false</LinksUpToDate>
  <CharactersWithSpaces>5811</CharactersWithSpaces>
  <SharedDoc>false</SharedDoc>
  <HLinks>
    <vt:vector size="24" baseType="variant">
      <vt:variant>
        <vt:i4>6226012</vt:i4>
      </vt:variant>
      <vt:variant>
        <vt:i4>9</vt:i4>
      </vt:variant>
      <vt:variant>
        <vt:i4>0</vt:i4>
      </vt:variant>
      <vt:variant>
        <vt:i4>5</vt:i4>
      </vt:variant>
      <vt:variant>
        <vt:lpwstr>http://www.schuemann-herbert.com/</vt:lpwstr>
      </vt:variant>
      <vt:variant>
        <vt:lpwstr/>
      </vt:variant>
      <vt:variant>
        <vt:i4>5374044</vt:i4>
      </vt:variant>
      <vt:variant>
        <vt:i4>6</vt:i4>
      </vt:variant>
      <vt:variant>
        <vt:i4>0</vt:i4>
      </vt:variant>
      <vt:variant>
        <vt:i4>5</vt:i4>
      </vt:variant>
      <vt:variant>
        <vt:lpwstr>http://www.pr-box.de/</vt:lpwstr>
      </vt:variant>
      <vt:variant>
        <vt:lpwstr/>
      </vt:variant>
      <vt:variant>
        <vt:i4>2162770</vt:i4>
      </vt:variant>
      <vt:variant>
        <vt:i4>3</vt:i4>
      </vt:variant>
      <vt:variant>
        <vt:i4>0</vt:i4>
      </vt:variant>
      <vt:variant>
        <vt:i4>5</vt:i4>
      </vt:variant>
      <vt:variant>
        <vt:lpwstr>mailto:info@schuemann-herbert.com</vt:lpwstr>
      </vt:variant>
      <vt:variant>
        <vt:lpwstr/>
      </vt: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Patricie Bast</cp:lastModifiedBy>
  <cp:revision>3</cp:revision>
  <cp:lastPrinted>2022-08-29T09:41:00Z</cp:lastPrinted>
  <dcterms:created xsi:type="dcterms:W3CDTF">2022-09-08T06:34:00Z</dcterms:created>
  <dcterms:modified xsi:type="dcterms:W3CDTF">2022-09-08T06:56:00Z</dcterms:modified>
</cp:coreProperties>
</file>